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rtl w:val="0"/>
          <w:lang w:val="en-US"/>
        </w:rPr>
        <w:t>Sunday, April 11th  2021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  <w:r>
        <w:rPr>
          <w:rFonts w:ascii="Palatino" w:hAnsi="Palatino" w:hint="default"/>
          <w:b w:val="1"/>
          <w:bCs w:val="1"/>
          <w:sz w:val="36"/>
          <w:szCs w:val="36"/>
          <w:rtl w:val="0"/>
          <w:lang w:val="en-US"/>
        </w:rPr>
        <w:t xml:space="preserve">“ </w:t>
      </w:r>
      <w:r>
        <w:rPr>
          <w:rFonts w:ascii="Palatino" w:hAnsi="Palatino"/>
          <w:sz w:val="36"/>
          <w:szCs w:val="36"/>
          <w:rtl w:val="0"/>
          <w:lang w:val="en-US"/>
        </w:rPr>
        <w:t xml:space="preserve">See No Stranger </w:t>
      </w:r>
      <w:r>
        <w:rPr>
          <w:rFonts w:ascii="Palatino" w:hAnsi="Palatino" w:hint="default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sz w:val="34"/>
          <w:szCs w:val="34"/>
          <w:rtl w:val="0"/>
          <w:lang w:val="en-US"/>
        </w:rPr>
        <w:t xml:space="preserve"> </w:t>
        <w:br w:type="textWrapping"/>
      </w: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36"/>
          <w:szCs w:val="36"/>
          <w:rtl w:val="0"/>
          <w:lang w:val="en-US"/>
        </w:rPr>
        <w:t>Order of Service</w:t>
      </w:r>
    </w:p>
    <w:p>
      <w:pPr>
        <w:pStyle w:val="Default"/>
        <w:spacing w:before="0" w:after="16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PRELUDE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Strangers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by Black Pumas </w:t>
      </w:r>
    </w:p>
    <w:p>
      <w:pPr>
        <w:pStyle w:val="Default"/>
        <w:spacing w:before="0" w:after="16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WELCOME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HYMM - #121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We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’</w:t>
      </w:r>
      <w:r>
        <w:rPr>
          <w:rFonts w:ascii="Palatino" w:hAnsi="Palatino"/>
          <w:sz w:val="28"/>
          <w:szCs w:val="28"/>
          <w:rtl w:val="0"/>
          <w:lang w:val="en-US"/>
        </w:rPr>
        <w:t>ll Build A Land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Palatino" w:hAnsi="Palatino"/>
          <w:sz w:val="28"/>
          <w:szCs w:val="28"/>
          <w:rtl w:val="0"/>
          <w:lang w:val="en-US"/>
        </w:rPr>
        <w:t>CHALICE LIGHTING  &amp;  READING offered by Donna Buono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The Central Problem by James  Baldwin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KIRTAN INTERLUDE  - Ong Namo (Wisdom) By Snatam Kaur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-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See No Stranger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HYMN  318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We Would Be One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VIRTUAL OFFERING PLATE</w:t>
      </w:r>
    </w:p>
    <w:p>
      <w:pPr>
        <w:pStyle w:val="Body A"/>
        <w:spacing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"https://uucpalisades.org/donate-to-uucp/%23.YGz2DS2z0Ss"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https://uucpalisades.org/donate-to-uucp/#.YGz2DS2z0Ss</w:t>
      </w:r>
      <w:r>
        <w:rPr/>
        <w:fldChar w:fldCharType="end" w:fldLock="0"/>
      </w:r>
    </w:p>
    <w:p>
      <w:pPr>
        <w:pStyle w:val="Body A"/>
        <w:spacing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ANNOUNCEMENTS 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CLOSING WORDS offered by Sydelle Postman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outline w:val="0"/>
          <w:color w:val="030303"/>
          <w:sz w:val="28"/>
          <w:szCs w:val="28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VIDEO POSTLUDE  </w:t>
      </w:r>
      <w:r>
        <w:rPr>
          <w:rStyle w:val="None"/>
          <w:rFonts w:ascii="Palatino" w:hAnsi="Palatino" w:hint="default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 “</w:t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One Tribe</w:t>
      </w:r>
      <w:r>
        <w:rPr>
          <w:rStyle w:val="None"/>
          <w:rFonts w:ascii="Palatino" w:hAnsi="Palatino" w:hint="default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” </w:t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(Black Eyed Peas) </w:t>
      </w:r>
      <w:r>
        <w:rPr>
          <w:rStyle w:val="None"/>
          <w:rFonts w:ascii="Palatino" w:cs="Palatino" w:hAnsi="Palatino" w:eastAsia="Palatino"/>
          <w:outline w:val="0"/>
          <w:color w:val="030303"/>
          <w:sz w:val="28"/>
          <w:szCs w:val="28"/>
          <w:u w:color="030303"/>
          <w:shd w:val="clear" w:color="auto" w:fill="ffffff"/>
          <w14:textFill>
            <w14:solidFill>
              <w14:srgbClr w14:val="030303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-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outline w:val="0"/>
          <w:color w:val="030303"/>
          <w:sz w:val="28"/>
          <w:szCs w:val="28"/>
          <w:u w:color="030303"/>
          <w:shd w:val="clear" w:color="auto" w:fill="ffffff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Harvard Implicit Bias </w:t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T</w:t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ests link.</w:t>
      </w:r>
    </w:p>
    <w:p>
      <w:pPr>
        <w:pStyle w:val="Default"/>
        <w:spacing w:before="0" w:line="360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"https://implicit.harvard.edu/implicit/selectatest.html"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https://implicit.harvard.edu/implicit/selectatest.html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